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Монологічне мовлення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Говоріння (усний переказ)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Письмо (письмовий переказ</w:t>
      </w:r>
      <w:r w:rsidRPr="00311761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)</w:t>
      </w:r>
    </w:p>
    <w:p w:rsidR="00C32DA5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1.Перевіряється здатність учня:</w:t>
      </w:r>
    </w:p>
    <w:p w:rsidR="00761449" w:rsidRPr="00311761" w:rsidRDefault="00761449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2DA5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а) виявляти певний рівень обізнаності з теми, що розкривається(усно чи письмово);</w:t>
      </w:r>
    </w:p>
    <w:p w:rsidR="00761449" w:rsidRPr="00311761" w:rsidRDefault="00761449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б) демонструвати вміння:</w:t>
      </w: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-будувати висловлювання певного обсягу, добираючи і впорядковуючи необхідний для реалізації задуму матеріал (епізод із власного життєвого досвіду, прочитаний або прослуханий текст, епізод з кінофільму, сприйнятий(побачений чи почутий) твір мистецтва, розповідь іншої людини тощо);</w:t>
      </w: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-ураховувати мету спілкування, адресата мовлення;</w:t>
      </w: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-розкривати тему висловлювання;</w:t>
      </w: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-виразно відображати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основну думку висловлювання, диференціюючи матеріал на головний і другорядний;</w:t>
      </w: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-викладати матеріал </w:t>
      </w:r>
      <w:proofErr w:type="spellStart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логічно</w:t>
      </w:r>
      <w:proofErr w:type="spellEnd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, послідовно;</w:t>
      </w: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-використовувати </w:t>
      </w:r>
      <w:proofErr w:type="spellStart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мовні</w:t>
      </w:r>
      <w:proofErr w:type="spellEnd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засоби відповідно до комунікативного завдання, дотримуючись норм літературної мови;</w:t>
      </w:r>
    </w:p>
    <w:p w:rsidR="00C32DA5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-додержувати єдності стилю;</w:t>
      </w:r>
    </w:p>
    <w:p w:rsidR="00761449" w:rsidRPr="00311761" w:rsidRDefault="00761449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2DA5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в) виявляти своє ставлення до предмета висловлювання, розуміти можливість різних тлумачень тієї самої проблеми;</w:t>
      </w:r>
    </w:p>
    <w:p w:rsidR="00761449" w:rsidRPr="00311761" w:rsidRDefault="00761449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г) виявляти певний рівень творчої діяльності, зокрема:</w:t>
      </w: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-трансформувати одержану інформацію, відтворюючи її докладно, стисло, вибірково, своїми словами, змінюючи форму викладу, стиль тощо відповідно до задуму висловлювання;</w:t>
      </w: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-створювати оригінальний текст певного стилю;</w:t>
      </w:r>
    </w:p>
    <w:p w:rsidR="00C32DA5" w:rsidRPr="00311761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-аргументувати висловлені думки, переконливо спростовувати помилкові докази;</w:t>
      </w:r>
    </w:p>
    <w:p w:rsidR="00C32DA5" w:rsidRDefault="00C32DA5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-викладати матеріал виразно, доречно, </w:t>
      </w:r>
      <w:proofErr w:type="spellStart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економно</w:t>
      </w:r>
      <w:proofErr w:type="spellEnd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виявляти багатство лексичних і граматичних засобів.</w:t>
      </w:r>
    </w:p>
    <w:p w:rsidR="00761449" w:rsidRPr="00311761" w:rsidRDefault="00761449" w:rsidP="007614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Організація контролю здійснюється за одним з двох варіантів.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 перший: усі учні виконують роботу самостійно.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Варіант другий: учні складають висловлювання на основі диференційованого підходу ( для початкового рівня пропонуються докладні допоміжні матеріали, для середнього (допоміжні матеріали загального характеру, а для одержання балів достатнього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і високого рівнів необхідно написати переказ чи твір самостійно.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Перевірка здатності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говорити(усно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переказувати чи створювати текст) здійснюється індивідуально: учитель пропонує певне завдання (переказати зміст матеріалу докладно, стисло, вибірково; самостійно створити висловлювання на відповідну тему) і дає учневі час на підготовку.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Перевірка здатності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письмово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переказувати і створювати текст здійснюється фронтально: учням пропонується переказати прочитаний учителем (за традиційною методикою або самостійно прочитаний) текст чи інший матеріал для переказу або самостійно написати твір.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2.Матеріал для контрольного завдання.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Переказ. Переказ із творчим завданням.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Матеріалом для переказу (усного/письмового) можуть бути: текст, що </w:t>
      </w:r>
      <w:proofErr w:type="spellStart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читається</w:t>
      </w:r>
      <w:proofErr w:type="spellEnd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вчителем, або попередньо опрацьований текст; самостійно прочитаний матеріал з газети, журналу, епізод кінофільму чи телепередачі, розповідь іншої людини про певні події, народні звичаї тощо. Якщо пишеться переказ із творчим завданням, учням пропонується ,окрім того, також</w:t>
      </w:r>
      <w:r w:rsidR="007614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завдання, що передбачає написання творчої роботи,</w:t>
      </w:r>
      <w:r w:rsidR="007614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обов’язково пов'язаної із змістом переказу.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тому разі, коли матеріал </w:t>
      </w:r>
      <w:proofErr w:type="spellStart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читається</w:t>
      </w:r>
      <w:proofErr w:type="spellEnd"/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безпосередньо перед контрольною роботою, обсяг тексту орієнтовно визначається так:</w:t>
      </w:r>
    </w:p>
    <w:tbl>
      <w:tblPr>
        <w:tblW w:w="8925" w:type="dxa"/>
        <w:tblBorders>
          <w:top w:val="single" w:sz="6" w:space="0" w:color="FECD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0"/>
        <w:gridCol w:w="6375"/>
      </w:tblGrid>
      <w:tr w:rsidR="00C32DA5" w:rsidRPr="00311761" w:rsidTr="00C32DA5">
        <w:trPr>
          <w:trHeight w:val="337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слів</w:t>
            </w:r>
          </w:p>
        </w:tc>
      </w:tr>
      <w:tr w:rsidR="00C32DA5" w:rsidRPr="00311761" w:rsidTr="00C32DA5">
        <w:trPr>
          <w:trHeight w:val="353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100-150</w:t>
            </w:r>
          </w:p>
        </w:tc>
      </w:tr>
      <w:tr w:rsidR="00C32DA5" w:rsidRPr="00311761" w:rsidTr="00C32DA5">
        <w:trPr>
          <w:trHeight w:val="337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6-й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150-200</w:t>
            </w:r>
          </w:p>
        </w:tc>
      </w:tr>
      <w:tr w:rsidR="00C32DA5" w:rsidRPr="00311761" w:rsidTr="00C32DA5">
        <w:trPr>
          <w:trHeight w:val="353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200-250</w:t>
            </w:r>
          </w:p>
        </w:tc>
      </w:tr>
      <w:tr w:rsidR="00C32DA5" w:rsidRPr="00311761" w:rsidTr="00C32DA5">
        <w:trPr>
          <w:trHeight w:val="337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250-300</w:t>
            </w:r>
          </w:p>
        </w:tc>
      </w:tr>
      <w:tr w:rsidR="00C32DA5" w:rsidRPr="00311761" w:rsidTr="00C32DA5">
        <w:trPr>
          <w:trHeight w:val="353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300-350</w:t>
            </w:r>
          </w:p>
        </w:tc>
      </w:tr>
      <w:tr w:rsidR="00C32DA5" w:rsidRPr="00311761" w:rsidTr="00C32DA5">
        <w:trPr>
          <w:trHeight w:val="337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350-400</w:t>
            </w:r>
          </w:p>
        </w:tc>
      </w:tr>
      <w:tr w:rsidR="00C32DA5" w:rsidRPr="00311761" w:rsidTr="00C32DA5">
        <w:trPr>
          <w:trHeight w:val="353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350-450</w:t>
            </w:r>
          </w:p>
        </w:tc>
      </w:tr>
      <w:tr w:rsidR="00C32DA5" w:rsidRPr="00311761" w:rsidTr="00C32DA5">
        <w:trPr>
          <w:trHeight w:val="337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400-450</w:t>
            </w:r>
          </w:p>
        </w:tc>
      </w:tr>
    </w:tbl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тексту для стислого чи вибіркового переказу має бути у 1,5-2 рази більшим за обсяг тексту для докладного переказу.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для контрольної роботи використовуються інші джерела, то матеріал добирається так, щоб обсяг переказу міг бути в межах пропонованих для певного класу норм.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Тривалість звучання усного переказу – 3-5 хвилин.</w:t>
      </w:r>
    </w:p>
    <w:p w:rsidR="00C32DA5" w:rsidRPr="00311761" w:rsidRDefault="00C32DA5" w:rsidP="00761449">
      <w:pPr>
        <w:shd w:val="clear" w:color="auto" w:fill="FFFFFF"/>
        <w:spacing w:after="3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11761">
        <w:rPr>
          <w:rFonts w:ascii="Times New Roman" w:eastAsia="Times New Roman" w:hAnsi="Times New Roman" w:cs="Times New Roman"/>
          <w:sz w:val="28"/>
          <w:szCs w:val="28"/>
          <w:lang w:eastAsia="uk-UA"/>
        </w:rPr>
        <w:t>Обсяг творчого завдання до переказу, виконаного письмово:</w:t>
      </w:r>
    </w:p>
    <w:tbl>
      <w:tblPr>
        <w:tblW w:w="9194" w:type="dxa"/>
        <w:tblBorders>
          <w:top w:val="single" w:sz="6" w:space="0" w:color="FECD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5"/>
        <w:gridCol w:w="7039"/>
      </w:tblGrid>
      <w:tr w:rsidR="00C32DA5" w:rsidRPr="00311761" w:rsidTr="00C32DA5">
        <w:trPr>
          <w:trHeight w:val="368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</w:t>
            </w:r>
          </w:p>
        </w:tc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Кількість сторінок</w:t>
            </w:r>
          </w:p>
        </w:tc>
      </w:tr>
      <w:tr w:rsidR="00C32DA5" w:rsidRPr="00311761" w:rsidTr="00C32DA5">
        <w:trPr>
          <w:trHeight w:val="385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5-й</w:t>
            </w:r>
          </w:p>
        </w:tc>
        <w:tc>
          <w:tcPr>
            <w:tcW w:w="0" w:type="auto"/>
            <w:vMerge w:val="restart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0,3-0,5</w:t>
            </w:r>
          </w:p>
        </w:tc>
      </w:tr>
      <w:tr w:rsidR="00C32DA5" w:rsidRPr="00311761" w:rsidTr="00C32DA5">
        <w:trPr>
          <w:trHeight w:val="368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softHyphen/>
              <w:t>-й</w:t>
            </w:r>
          </w:p>
        </w:tc>
        <w:tc>
          <w:tcPr>
            <w:tcW w:w="0" w:type="auto"/>
            <w:vMerge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vAlign w:val="center"/>
            <w:hideMark/>
          </w:tcPr>
          <w:p w:rsidR="00C32DA5" w:rsidRPr="00311761" w:rsidRDefault="00C32DA5" w:rsidP="00761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2DA5" w:rsidRPr="00311761" w:rsidTr="00C32DA5">
        <w:trPr>
          <w:trHeight w:val="368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7-й</w:t>
            </w:r>
          </w:p>
        </w:tc>
        <w:tc>
          <w:tcPr>
            <w:tcW w:w="0" w:type="auto"/>
            <w:vMerge w:val="restart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0,5-0,75</w:t>
            </w:r>
          </w:p>
        </w:tc>
      </w:tr>
      <w:tr w:rsidR="00C32DA5" w:rsidRPr="00311761" w:rsidTr="00C32DA5">
        <w:trPr>
          <w:trHeight w:val="385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8-й</w:t>
            </w:r>
          </w:p>
        </w:tc>
        <w:tc>
          <w:tcPr>
            <w:tcW w:w="0" w:type="auto"/>
            <w:vMerge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vAlign w:val="center"/>
            <w:hideMark/>
          </w:tcPr>
          <w:p w:rsidR="00C32DA5" w:rsidRPr="00311761" w:rsidRDefault="00C32DA5" w:rsidP="00761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2DA5" w:rsidRPr="00311761" w:rsidTr="00C32DA5">
        <w:trPr>
          <w:trHeight w:val="368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9-й</w:t>
            </w:r>
          </w:p>
        </w:tc>
        <w:tc>
          <w:tcPr>
            <w:tcW w:w="0" w:type="auto"/>
            <w:vMerge w:val="restart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0,75-1,0</w:t>
            </w:r>
          </w:p>
        </w:tc>
      </w:tr>
      <w:tr w:rsidR="00C32DA5" w:rsidRPr="00311761" w:rsidTr="00C32DA5">
        <w:trPr>
          <w:trHeight w:val="368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10-й</w:t>
            </w:r>
          </w:p>
        </w:tc>
        <w:tc>
          <w:tcPr>
            <w:tcW w:w="0" w:type="auto"/>
            <w:vMerge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vAlign w:val="center"/>
            <w:hideMark/>
          </w:tcPr>
          <w:p w:rsidR="00C32DA5" w:rsidRPr="00311761" w:rsidRDefault="00C32DA5" w:rsidP="00761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C32DA5" w:rsidRPr="00311761" w:rsidTr="00C32DA5">
        <w:trPr>
          <w:trHeight w:val="385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11-й</w:t>
            </w:r>
          </w:p>
        </w:tc>
        <w:tc>
          <w:tcPr>
            <w:tcW w:w="0" w:type="auto"/>
            <w:vMerge w:val="restart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1,0-1,5</w:t>
            </w:r>
          </w:p>
        </w:tc>
      </w:tr>
      <w:tr w:rsidR="00C32DA5" w:rsidRPr="00311761" w:rsidTr="00C32DA5">
        <w:trPr>
          <w:trHeight w:val="368"/>
        </w:trPr>
        <w:tc>
          <w:tcPr>
            <w:tcW w:w="0" w:type="auto"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2DA5" w:rsidRPr="00311761" w:rsidRDefault="00C32DA5" w:rsidP="00761449">
            <w:pPr>
              <w:spacing w:after="0" w:line="32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31176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12-й</w:t>
            </w:r>
          </w:p>
        </w:tc>
        <w:tc>
          <w:tcPr>
            <w:tcW w:w="0" w:type="auto"/>
            <w:vMerge/>
            <w:tcBorders>
              <w:top w:val="single" w:sz="6" w:space="0" w:color="FECD01"/>
              <w:left w:val="single" w:sz="6" w:space="0" w:color="FECD01"/>
              <w:bottom w:val="single" w:sz="6" w:space="0" w:color="FECD01"/>
              <w:right w:val="single" w:sz="6" w:space="0" w:color="FECD01"/>
            </w:tcBorders>
            <w:shd w:val="clear" w:color="auto" w:fill="FFFFFF"/>
            <w:vAlign w:val="center"/>
            <w:hideMark/>
          </w:tcPr>
          <w:p w:rsidR="00C32DA5" w:rsidRPr="00311761" w:rsidRDefault="00C32DA5" w:rsidP="0076144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8002F0" w:rsidRDefault="008002F0" w:rsidP="00761449">
      <w:pPr>
        <w:ind w:firstLine="709"/>
      </w:pPr>
    </w:p>
    <w:sectPr w:rsidR="008002F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A5"/>
    <w:rsid w:val="002323B2"/>
    <w:rsid w:val="00761449"/>
    <w:rsid w:val="008002F0"/>
    <w:rsid w:val="00C3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63534ABA1E264F9C3D3893398A0BF2" ma:contentTypeVersion="9" ma:contentTypeDescription="Створення нового документа." ma:contentTypeScope="" ma:versionID="49403e9db5935d3f7c4dba7bef62452a">
  <xsd:schema xmlns:xsd="http://www.w3.org/2001/XMLSchema" xmlns:xs="http://www.w3.org/2001/XMLSchema" xmlns:p="http://schemas.microsoft.com/office/2006/metadata/properties" xmlns:ns2="a312c67f-512e-489b-a74c-895d0d71c6c3" targetNamespace="http://schemas.microsoft.com/office/2006/metadata/properties" ma:root="true" ma:fieldsID="fad9d527942947e808ce59e14fd72b7c" ns2:_="">
    <xsd:import namespace="a312c67f-512e-489b-a74c-895d0d71c6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2c67f-512e-489b-a74c-895d0d71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82ECD8-FF37-44F3-B81D-03F7F5CFC6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0190C6-71F9-4BBE-9B1B-8D815C3DF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9E5E44-ED1F-41D9-BF9E-0E3E27451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2c67f-512e-489b-a74c-895d0d71c6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2021-02-07T16:11:00Z</dcterms:created>
  <dcterms:modified xsi:type="dcterms:W3CDTF">2021-04-15T10:12:00Z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0x0101004663534ABA1E264F9C3D3893398A0BF2</vt:lpwstr>
  </property>
</Properties>
</file>